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w:t>
      </w:r>
    </w:p>
    <w:p>
      <w:pPr>
        <w:pStyle w:val="TextBody"/>
        <w:bidi w:val="0"/>
        <w:spacing w:lineRule="auto" w:line="288" w:before="0" w:after="240"/>
        <w:jc w:val="center"/>
        <w:rPr>
          <w:rFonts w:ascii="Times New Roman;serif" w:hAnsi="Times New Roman;serif"/>
          <w:b/>
          <w:color w:val="000000"/>
          <w:sz w:val="32"/>
        </w:rPr>
      </w:pPr>
      <w:r>
        <w:rPr>
          <w:rFonts w:ascii="Times New Roman;serif" w:hAnsi="Times New Roman;serif"/>
          <w:b/>
          <w:color w:val="000000"/>
          <w:sz w:val="32"/>
        </w:rPr>
        <w:t>FORM T-1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STATEMENT OF ELIGIBILITY UNDER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THE TRUST INDENTURE ACT OF 1939 OF A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CORPORATION DESIGNATED TO ACT AS TRUSTEE</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Check if an Application to Determine Eligibility of.</w:t>
      </w:r>
    </w:p>
    <w:p>
      <w:pPr>
        <w:pStyle w:val="TextBody"/>
        <w:bidi w:val="0"/>
        <w:spacing w:lineRule="auto" w:line="288" w:before="0" w:after="0"/>
        <w:jc w:val="center"/>
        <w:rPr/>
      </w:pPr>
      <w:r>
        <w:rPr>
          <w:rFonts w:ascii="Times New Roman;serif" w:hAnsi="Times New Roman;serif"/>
          <w:b w:val="false"/>
          <w:color w:val="000000"/>
          <w:sz w:val="22"/>
        </w:rPr>
        <w:t xml:space="preserve">a Trustee Pursuant to Section 305(b)(2) </w:t>
      </w:r>
      <w:r>
        <w:rPr>
          <w:rFonts w:ascii="Wingdings;sans-serif" w:hAnsi="Wingdings;sans-serif"/>
          <w:b w:val="false"/>
          <w:color w:val="000000"/>
          <w:sz w:val="22"/>
        </w:rPr>
        <w:t>o</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U.S. BANK TRUST COMPANY, NATIONAL ASSOCIATION</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(Exact name of Trustee as specified in its charter)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91-1821036</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bl>
      <w:tblPr>
        <w:tblW w:w="3853" w:type="dxa"/>
        <w:jc w:val="left"/>
        <w:tblInd w:w="0" w:type="dxa"/>
        <w:tblLayout w:type="fixed"/>
        <w:tblCellMar>
          <w:top w:w="28" w:type="dxa"/>
          <w:left w:w="28" w:type="dxa"/>
          <w:bottom w:w="28" w:type="dxa"/>
          <w:right w:w="28" w:type="dxa"/>
        </w:tblCellMar>
      </w:tblPr>
      <w:tblGrid>
        <w:gridCol w:w="1059"/>
        <w:gridCol w:w="931"/>
        <w:gridCol w:w="934"/>
        <w:gridCol w:w="272"/>
        <w:gridCol w:w="272"/>
        <w:gridCol w:w="38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200 South 6th Street</w:t>
            </w:r>
          </w:p>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Minneapolis, Minnesota</w:t>
            </w:r>
          </w:p>
        </w:tc>
        <w:tc>
          <w:tcPr>
            <w:tcW w:w="9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55402</w:t>
            </w:r>
          </w:p>
        </w:tc>
      </w:tr>
      <w:tr>
        <w:trPr/>
        <w:tc>
          <w:tcPr>
            <w:tcW w:w="29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9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Shannon Matthews</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U.S. Bank Trust Company, National Association</w:t>
      </w:r>
    </w:p>
    <w:p>
      <w:pPr>
        <w:pStyle w:val="TextBody"/>
        <w:bidi w:val="0"/>
        <w:spacing w:lineRule="auto" w:line="268" w:before="0" w:after="0"/>
        <w:jc w:val="center"/>
        <w:rPr/>
      </w:pPr>
      <w:r>
        <w:rPr>
          <w:rFonts w:ascii="Times New Roman;serif" w:hAnsi="Times New Roman;serif"/>
          <w:b w:val="false"/>
          <w:color w:val="000000"/>
          <w:sz w:val="22"/>
        </w:rPr>
        <w:t>100 Wall Street, 20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2"/>
        </w:rPr>
        <w:t>Fl</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New York, NY 10005</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(215) 293-2204</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(Name, address and telephone number of agent for service)</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Lear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(Issuer with respect to the Securities)</w:t>
      </w:r>
    </w:p>
    <w:tbl>
      <w:tblPr>
        <w:tblW w:w="7034" w:type="dxa"/>
        <w:jc w:val="left"/>
        <w:tblInd w:w="0" w:type="dxa"/>
        <w:tblLayout w:type="fixed"/>
        <w:tblCellMar>
          <w:top w:w="28" w:type="dxa"/>
          <w:left w:w="28" w:type="dxa"/>
          <w:bottom w:w="28" w:type="dxa"/>
          <w:right w:w="28" w:type="dxa"/>
        </w:tblCellMar>
      </w:tblPr>
      <w:tblGrid>
        <w:gridCol w:w="1565"/>
        <w:gridCol w:w="1375"/>
        <w:gridCol w:w="1379"/>
        <w:gridCol w:w="795"/>
        <w:gridCol w:w="795"/>
        <w:gridCol w:w="1125"/>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Delaware</w:t>
            </w:r>
          </w:p>
        </w:tc>
        <w:tc>
          <w:tcPr>
            <w:tcW w:w="271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13-3386776</w:t>
            </w:r>
          </w:p>
        </w:tc>
      </w:tr>
      <w:tr>
        <w:trPr/>
        <w:tc>
          <w:tcPr>
            <w:tcW w:w="43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71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tbl>
      <w:tblPr>
        <w:tblW w:w="3943" w:type="dxa"/>
        <w:jc w:val="left"/>
        <w:tblInd w:w="0" w:type="dxa"/>
        <w:tblLayout w:type="fixed"/>
        <w:tblCellMar>
          <w:top w:w="28" w:type="dxa"/>
          <w:left w:w="28" w:type="dxa"/>
          <w:bottom w:w="28" w:type="dxa"/>
          <w:right w:w="28" w:type="dxa"/>
        </w:tblCellMar>
      </w:tblPr>
      <w:tblGrid>
        <w:gridCol w:w="1091"/>
        <w:gridCol w:w="959"/>
        <w:gridCol w:w="964"/>
        <w:gridCol w:w="272"/>
        <w:gridCol w:w="272"/>
        <w:gridCol w:w="385"/>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40" w:after="1"/>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21557 Telegraph Road</w:t>
            </w:r>
          </w:p>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Southfield, Michigan</w:t>
            </w:r>
          </w:p>
        </w:tc>
        <w:tc>
          <w:tcPr>
            <w:tcW w:w="9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48033</w:t>
            </w:r>
          </w:p>
        </w:tc>
      </w:tr>
      <w:tr>
        <w:trPr/>
        <w:tc>
          <w:tcPr>
            <w:tcW w:w="30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9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Subordinated Debt Securities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(Title of the Indenture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FORM T-1</w:t>
      </w:r>
    </w:p>
    <w:p>
      <w:pPr>
        <w:pStyle w:val="TextBody"/>
        <w:bidi w:val="0"/>
        <w:spacing w:lineRule="auto" w:line="288" w:before="0" w:after="240"/>
        <w:ind w:left="0" w:right="0" w:hanging="1080"/>
        <w:jc w:val="left"/>
        <w:rPr/>
      </w:pPr>
      <w:r>
        <w:rPr>
          <w:rFonts w:ascii="Times New Roman;serif" w:hAnsi="Times New Roman;serif"/>
          <w:b/>
          <w:color w:val="000000"/>
          <w:sz w:val="24"/>
        </w:rPr>
        <w:t>Item 1.    GENERAL INFORMATION</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Furnish the following information as to the Trustee.</w:t>
      </w:r>
    </w:p>
    <w:p>
      <w:pPr>
        <w:pStyle w:val="TextBody"/>
        <w:bidi w:val="0"/>
        <w:spacing w:lineRule="auto" w:line="288" w:before="0" w:after="0"/>
        <w:ind w:left="0" w:right="0" w:hanging="450"/>
        <w:jc w:val="left"/>
        <w:rPr/>
      </w:pPr>
      <w:r>
        <w:rPr>
          <w:rFonts w:ascii="Times New Roman;serif" w:hAnsi="Times New Roman;serif"/>
          <w:b w:val="false"/>
          <w:color w:val="000000"/>
          <w:sz w:val="24"/>
        </w:rPr>
        <w:t>a)    </w:t>
      </w:r>
      <w:r>
        <w:rPr>
          <w:rFonts w:ascii="Times New Roman;serif" w:hAnsi="Times New Roman;serif"/>
          <w:b w:val="false"/>
          <w:i/>
          <w:color w:val="000000"/>
          <w:sz w:val="24"/>
        </w:rPr>
        <w:t>Name and address of each examining or supervising authority to which it is subject.</w:t>
      </w:r>
    </w:p>
    <w:p>
      <w:pPr>
        <w:pStyle w:val="TextBody"/>
        <w:bidi w:val="0"/>
        <w:spacing w:lineRule="auto" w:line="288" w:before="0" w:after="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Comptroller of the Currency</w:t>
      </w:r>
    </w:p>
    <w:p>
      <w:pPr>
        <w:pStyle w:val="TextBody"/>
        <w:bidi w:val="0"/>
        <w:spacing w:lineRule="auto" w:line="288" w:before="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Washington, D.C.</w:t>
      </w:r>
    </w:p>
    <w:p>
      <w:pPr>
        <w:pStyle w:val="TextBody"/>
        <w:bidi w:val="0"/>
        <w:spacing w:lineRule="auto" w:line="288" w:before="0" w:after="0"/>
        <w:ind w:left="0" w:right="0" w:hanging="450"/>
        <w:jc w:val="left"/>
        <w:rPr/>
      </w:pPr>
      <w:r>
        <w:rPr>
          <w:rFonts w:ascii="Times New Roman;serif" w:hAnsi="Times New Roman;serif"/>
          <w:b w:val="false"/>
          <w:color w:val="000000"/>
          <w:sz w:val="24"/>
        </w:rPr>
        <w:t>b)    </w:t>
      </w:r>
      <w:r>
        <w:rPr>
          <w:rFonts w:ascii="Times New Roman;serif" w:hAnsi="Times New Roman;serif"/>
          <w:b w:val="false"/>
          <w:i/>
          <w:color w:val="000000"/>
          <w:sz w:val="24"/>
        </w:rPr>
        <w:t>Whether it is authorized to exercise corporate trust powers.</w:t>
      </w:r>
      <w:r>
        <w:rPr>
          <w:color w:val="000000"/>
        </w:rPr>
        <w:t xml:space="preserve"> </w:t>
      </w:r>
    </w:p>
    <w:p>
      <w:pPr>
        <w:pStyle w:val="TextBody"/>
        <w:bidi w:val="0"/>
        <w:spacing w:lineRule="auto" w:line="288" w:before="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Yes</w:t>
      </w:r>
    </w:p>
    <w:p>
      <w:pPr>
        <w:pStyle w:val="TextBody"/>
        <w:bidi w:val="0"/>
        <w:spacing w:lineRule="auto" w:line="288" w:before="0" w:after="0"/>
        <w:ind w:left="0" w:right="0" w:hanging="1080"/>
        <w:jc w:val="left"/>
        <w:rPr/>
      </w:pPr>
      <w:r>
        <w:rPr>
          <w:rFonts w:ascii="Times New Roman;serif" w:hAnsi="Times New Roman;serif"/>
          <w:b/>
          <w:color w:val="000000"/>
          <w:sz w:val="24"/>
        </w:rPr>
        <w:t xml:space="preserve">Item 2.    AFFILIATIONS WITH THE OBLIGOR. </w:t>
      </w:r>
      <w:r>
        <w:rPr>
          <w:rFonts w:ascii="Times New Roman;serif" w:hAnsi="Times New Roman;serif"/>
          <w:b w:val="false"/>
          <w:i/>
          <w:color w:val="000000"/>
          <w:sz w:val="24"/>
        </w:rPr>
        <w:t>If the obligor is an affiliate of the Trustee, describe each such affiliation.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None</w:t>
      </w:r>
    </w:p>
    <w:p>
      <w:pPr>
        <w:pStyle w:val="TextBody"/>
        <w:bidi w:val="0"/>
        <w:spacing w:lineRule="auto" w:line="288" w:before="0" w:after="240"/>
        <w:ind w:left="0" w:right="0" w:hanging="1440"/>
        <w:jc w:val="left"/>
        <w:rPr/>
      </w:pPr>
      <w:r>
        <w:rPr>
          <w:rFonts w:ascii="Times New Roman;serif" w:hAnsi="Times New Roman;serif"/>
          <w:b/>
          <w:color w:val="000000"/>
          <w:sz w:val="24"/>
        </w:rPr>
        <w:t>Items 3-15.    </w:t>
      </w:r>
      <w:r>
        <w:rPr>
          <w:rFonts w:ascii="Times New Roman;serif" w:hAnsi="Times New Roman;serif"/>
          <w:b w:val="false"/>
          <w:i/>
          <w:color w:val="000000"/>
          <w:sz w:val="24"/>
        </w:rPr>
        <w:t>Items 3-15 are not applicable because to the best of the Trustee's knowledge, the obligor is not in default under any Indenture for which the Trustee acts as Trustee.</w:t>
      </w:r>
    </w:p>
    <w:p>
      <w:pPr>
        <w:pStyle w:val="TextBody"/>
        <w:bidi w:val="0"/>
        <w:spacing w:lineRule="auto" w:line="288" w:before="0" w:after="240"/>
        <w:ind w:left="0" w:right="0" w:hanging="1080"/>
        <w:jc w:val="left"/>
        <w:rPr/>
      </w:pPr>
      <w:r>
        <w:rPr>
          <w:rFonts w:ascii="Times New Roman;serif" w:hAnsi="Times New Roman;serif"/>
          <w:b/>
          <w:color w:val="000000"/>
          <w:sz w:val="24"/>
        </w:rPr>
        <w:t>Item 16.    LIST OF EXHIBITS:</w:t>
      </w:r>
      <w:r>
        <w:rPr>
          <w:color w:val="000000"/>
        </w:rPr>
        <w:t xml:space="preserve"> </w:t>
      </w:r>
      <w:r>
        <w:rPr>
          <w:rFonts w:ascii="Times New Roman;serif" w:hAnsi="Times New Roman;serif"/>
          <w:b w:val="false"/>
          <w:i/>
          <w:color w:val="000000"/>
          <w:sz w:val="24"/>
        </w:rPr>
        <w:t xml:space="preserve">List below all exhibits filed as a part of this statement of eligibility and qualification. </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A copy of the Articles of Association of the Trustee, attached as Exhibit 1.</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2.    A copy of the certificate of authority of the Trustee to commence business, attached as Exhibit 2. </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    A copy of the authorization of the Trustee to exercise corporate trust powers, attached as Exhibit 2.</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    A copy of the existing bylaws of the Trustee, attached as Exhibit 4.</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5.    A copy of each Indenture referred to in Item 4. Not applicable.</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6.    The consent of the Trustee required by Section 321(b) of the Trust Indenture Act of 1939, attached as Exhibit 6.</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7.    Report of Condition of the Trustee as of March 31, 2026, published pursuant to law or the requirements of its supervising or examining authority, attached as Exhibit 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240"/>
        <w:ind w:left="0" w:right="0" w:firstLine="720"/>
        <w:jc w:val="left"/>
        <w:rPr/>
      </w:pPr>
      <w:r>
        <w:rPr>
          <w:rFonts w:ascii="Times New Roman;serif" w:hAnsi="Times New Roman;serif"/>
          <w:b w:val="false"/>
          <w:color w:val="000000"/>
          <w:sz w:val="24"/>
        </w:rPr>
        <w:t>Pursuant to the requirements of the Trust Indenture Act of 1939, as amended, the Trustee, U.S. BANK TRUST COMPANY, NATIONAL ASSOCIATION</w:t>
      </w:r>
      <w:r>
        <w:rPr>
          <w:rFonts w:ascii="Times New Roman;serif" w:hAnsi="Times New Roman;serif"/>
          <w:b w:val="false"/>
          <w:color w:val="000000"/>
          <w:sz w:val="20"/>
        </w:rPr>
        <w:t xml:space="preserve">, </w:t>
      </w:r>
      <w:r>
        <w:rPr>
          <w:rFonts w:ascii="Times New Roman;serif" w:hAnsi="Times New Roman;serif"/>
          <w:b w:val="false"/>
          <w:color w:val="000000"/>
          <w:sz w:val="24"/>
        </w:rPr>
        <w:t>a national banking association organized and existing under the laws of the United States of America, has duly caused this statement of eligibility and qualification to be signed on its behalf by the undersigned, thereunto duly authorized, all in the City of New York, State of New York on the 31st of July, 2026.</w:t>
      </w:r>
    </w:p>
    <w:tbl>
      <w:tblPr>
        <w:tblW w:w="3367" w:type="dxa"/>
        <w:jc w:val="left"/>
        <w:tblInd w:w="0" w:type="dxa"/>
        <w:tblLayout w:type="fixed"/>
        <w:tblCellMar>
          <w:top w:w="28" w:type="dxa"/>
          <w:left w:w="28" w:type="dxa"/>
          <w:bottom w:w="28" w:type="dxa"/>
          <w:right w:w="28" w:type="dxa"/>
        </w:tblCellMar>
      </w:tblPr>
      <w:tblGrid>
        <w:gridCol w:w="124"/>
        <w:gridCol w:w="109"/>
        <w:gridCol w:w="109"/>
        <w:gridCol w:w="149"/>
        <w:gridCol w:w="149"/>
        <w:gridCol w:w="151"/>
        <w:gridCol w:w="734"/>
        <w:gridCol w:w="734"/>
        <w:gridCol w:w="7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Shannon Matthews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Shannon Matthews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Vice President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1</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 xml:space="preserve">ARTICLES OF ASSOCIATION </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OF</w:t>
      </w:r>
    </w:p>
    <w:p>
      <w:pPr>
        <w:pStyle w:val="TextBody"/>
        <w:bidi w:val="0"/>
        <w:spacing w:lineRule="auto" w:line="288" w:before="0" w:after="240"/>
        <w:jc w:val="center"/>
        <w:rPr>
          <w:rFonts w:ascii="Times New Roman;serif" w:hAnsi="Times New Roman;serif"/>
          <w:b/>
          <w:color w:val="000000"/>
          <w:sz w:val="23"/>
        </w:rPr>
      </w:pPr>
      <w:r>
        <w:rPr>
          <w:rFonts w:ascii="Times New Roman;serif" w:hAnsi="Times New Roman;serif"/>
          <w:b/>
          <w:color w:val="000000"/>
          <w:sz w:val="23"/>
        </w:rPr>
        <w:t>U. S. BANK TRUST COMPANY, NATIONAL ASSOCIATION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the purpose of organizing an association (the “Association”) to perform any lawful activities of national banks, the undersigned enter into the following Articles of Association:</w:t>
      </w:r>
    </w:p>
    <w:p>
      <w:pPr>
        <w:pStyle w:val="TextBody"/>
        <w:bidi w:val="0"/>
        <w:spacing w:lineRule="auto" w:line="288" w:before="0" w:after="240"/>
        <w:jc w:val="both"/>
        <w:rPr/>
      </w:pPr>
      <w:r>
        <w:rPr>
          <w:rFonts w:ascii="Times New Roman;serif" w:hAnsi="Times New Roman;serif"/>
          <w:b/>
          <w:color w:val="000000"/>
          <w:sz w:val="23"/>
        </w:rPr>
        <w:t xml:space="preserve">FIRST. </w:t>
      </w:r>
      <w:r>
        <w:rPr>
          <w:rFonts w:ascii="Times New Roman;serif" w:hAnsi="Times New Roman;serif"/>
          <w:b w:val="false"/>
          <w:color w:val="000000"/>
          <w:sz w:val="24"/>
        </w:rPr>
        <w:t>The title of this Association shall be U. S. Bank Trust Company, National Association.</w:t>
      </w:r>
    </w:p>
    <w:p>
      <w:pPr>
        <w:pStyle w:val="TextBody"/>
        <w:bidi w:val="0"/>
        <w:spacing w:lineRule="auto" w:line="288" w:before="0" w:after="240"/>
        <w:jc w:val="both"/>
        <w:rPr/>
      </w:pPr>
      <w:r>
        <w:rPr>
          <w:rFonts w:ascii="Times New Roman;serif" w:hAnsi="Times New Roman;serif"/>
          <w:b/>
          <w:color w:val="000000"/>
          <w:sz w:val="23"/>
        </w:rPr>
        <w:t xml:space="preserve">SECOND. </w:t>
      </w:r>
      <w:r>
        <w:rPr>
          <w:rFonts w:ascii="Times New Roman;serif" w:hAnsi="Times New Roman;serif"/>
          <w:b w:val="false"/>
          <w:color w:val="000000"/>
          <w:sz w:val="24"/>
        </w:rPr>
        <w:t>The main office of the Association shall be in the city of Portland, county of Multnomah, state of Oregon. The 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w:t>
      </w:r>
    </w:p>
    <w:p>
      <w:pPr>
        <w:pStyle w:val="TextBody"/>
        <w:bidi w:val="0"/>
        <w:spacing w:lineRule="auto" w:line="288" w:before="0" w:after="240"/>
        <w:jc w:val="both"/>
        <w:rPr/>
      </w:pPr>
      <w:r>
        <w:rPr>
          <w:rFonts w:ascii="Times New Roman;serif" w:hAnsi="Times New Roman;serif"/>
          <w:b/>
          <w:color w:val="000000"/>
          <w:sz w:val="24"/>
        </w:rPr>
        <w:t>THIRD.</w:t>
      </w:r>
      <w:r>
        <w:rPr>
          <w:color w:val="000000"/>
        </w:rPr>
        <w:t xml:space="preserve"> </w:t>
      </w:r>
      <w:r>
        <w:rPr>
          <w:rFonts w:ascii="Times New Roman;serif" w:hAnsi="Times New Roman;serif"/>
          <w:b w:val="false"/>
          <w:color w:val="000000"/>
          <w:sz w:val="24"/>
        </w:rPr>
        <w:t>The board of directors of the Association shall consist of not less than five nor more than twenty-five persons, the 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pStyle w:val="TextBody"/>
        <w:bidi w:val="0"/>
        <w:spacing w:lineRule="auto" w:line="288" w:before="0" w:after="240"/>
        <w:jc w:val="both"/>
        <w:rPr/>
      </w:pPr>
      <w:r>
        <w:rPr>
          <w:rFonts w:ascii="Times New Roman;serif" w:hAnsi="Times New Roman;serif"/>
          <w:b/>
          <w:color w:val="000000"/>
          <w:sz w:val="23"/>
        </w:rPr>
        <w:t xml:space="preserve">FOURTH. </w:t>
      </w:r>
      <w:r>
        <w:rPr>
          <w:rFonts w:ascii="Times New Roman;serif" w:hAnsi="Times New Roman;serif"/>
          <w:b w:val="false"/>
          <w:color w:val="000000"/>
          <w:sz w:val="24"/>
        </w:rPr>
        <w:t xml:space="preserve">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w:t>
      </w:r>
      <w:r>
        <w:rPr>
          <w:rFonts w:ascii="Times New Roman;serif" w:hAnsi="Times New Roman;serif"/>
          <w:b w:val="false"/>
          <w:color w:val="000000"/>
          <w:sz w:val="25"/>
        </w:rPr>
        <w:t>if that</w:t>
      </w:r>
      <w:r>
        <w:rPr>
          <w:color w:val="000000"/>
        </w:rPr>
        <w:t xml:space="preserve"> </w:t>
      </w:r>
      <w:r>
        <w:rPr>
          <w:rFonts w:ascii="Times New Roman;serif" w:hAnsi="Times New Roman;serif"/>
          <w:b w:val="false"/>
          <w:color w:val="000000"/>
          <w:sz w:val="24"/>
        </w:rPr>
        <w:t xml:space="preserve">day falls on a legal holiday in the state in which the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Association is located, on the next following banking day. </w:t>
      </w:r>
      <w:r>
        <w:rPr>
          <w:rFonts w:ascii="Arial;sans-serif" w:hAnsi="Arial;sans-serif"/>
          <w:b w:val="false"/>
          <w:color w:val="000000"/>
          <w:sz w:val="23"/>
        </w:rPr>
        <w:t xml:space="preserve">If </w:t>
      </w:r>
      <w:r>
        <w:rPr>
          <w:rFonts w:ascii="Times New Roman;serif" w:hAnsi="Times New Roman;serif"/>
          <w:b w:val="false"/>
          <w:color w:val="000000"/>
          <w:sz w:val="24"/>
        </w:rPr>
        <w:t xml:space="preserve">no election is held on the day fixed or in the event of a legal holiday on the following banking day, an election may be held on any subsequent day within 60 days of the day fixed, to be designated by the board of directors, or, </w:t>
      </w:r>
      <w:r>
        <w:rPr>
          <w:rFonts w:ascii="Arial;sans-serif" w:hAnsi="Arial;sans-serif"/>
          <w:b w:val="false"/>
          <w:color w:val="000000"/>
          <w:sz w:val="23"/>
        </w:rPr>
        <w:t xml:space="preserve">if </w:t>
      </w:r>
      <w:r>
        <w:rPr>
          <w:rFonts w:ascii="Times New Roman;serif" w:hAnsi="Times New Roman;serif"/>
          <w:b w:val="false"/>
          <w:color w:val="000000"/>
          <w:sz w:val="24"/>
        </w:rPr>
        <w:t>the directors fail to fix the day, by shareholders representing two-thirds of the shares issued and outstanding. In all cases, at least 10 days’ advance notice of the meeting shall be given to the shareholders by first-class mail.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director may resign at any time by delivering written notice to the board of directors, its chairperson, or to the Association, which resignation shall be effective when the notice is delivered unless the notice specifies a later effective date.</w:t>
      </w:r>
    </w:p>
    <w:p>
      <w:pPr>
        <w:pStyle w:val="TextBody"/>
        <w:bidi w:val="0"/>
        <w:spacing w:lineRule="auto" w:line="288" w:before="0" w:after="240"/>
        <w:jc w:val="both"/>
        <w:rPr/>
      </w:pPr>
      <w:r>
        <w:rPr>
          <w:rFonts w:ascii="Times New Roman;serif" w:hAnsi="Times New Roman;serif"/>
          <w:b w:val="false"/>
          <w:color w:val="000000"/>
          <w:sz w:val="24"/>
        </w:rPr>
        <w:t xml:space="preserve">A director may be removed by the shareholders at a meeting called to remove him or her, when notice of the meeting stating that the purpose or one of the purposes is to remove </w:t>
      </w:r>
      <w:r>
        <w:rPr>
          <w:rFonts w:ascii="Times New Roman;serif" w:hAnsi="Times New Roman;serif"/>
          <w:b w:val="false"/>
          <w:color w:val="000000"/>
          <w:sz w:val="23"/>
        </w:rPr>
        <w:t xml:space="preserve">him </w:t>
      </w:r>
      <w:r>
        <w:rPr>
          <w:rFonts w:ascii="Times New Roman;serif" w:hAnsi="Times New Roman;serif"/>
          <w:b w:val="false"/>
          <w:color w:val="000000"/>
          <w:sz w:val="24"/>
        </w:rPr>
        <w:t xml:space="preserve">or her is provided, </w:t>
      </w:r>
      <w:r>
        <w:rPr>
          <w:rFonts w:ascii="Arial;sans-serif" w:hAnsi="Arial;sans-serif"/>
          <w:b w:val="false"/>
          <w:color w:val="000000"/>
          <w:sz w:val="23"/>
        </w:rPr>
        <w:t xml:space="preserve">if </w:t>
      </w:r>
      <w:r>
        <w:rPr>
          <w:rFonts w:ascii="Times New Roman;serif" w:hAnsi="Times New Roman;serif"/>
          <w:b w:val="false"/>
          <w:color w:val="000000"/>
          <w:sz w:val="24"/>
        </w:rPr>
        <w:t xml:space="preserve">there is a failure to fulfill one of the affirmative requirements for qualification, or for cause; provided, however, that a director may not be removed </w:t>
      </w:r>
      <w:r>
        <w:rPr>
          <w:rFonts w:ascii="Arial;sans-serif" w:hAnsi="Arial;sans-serif"/>
          <w:b w:val="false"/>
          <w:color w:val="000000"/>
          <w:sz w:val="23"/>
        </w:rPr>
        <w:t xml:space="preserve">if </w:t>
      </w:r>
      <w:r>
        <w:rPr>
          <w:rFonts w:ascii="Times New Roman;serif" w:hAnsi="Times New Roman;serif"/>
          <w:b w:val="false"/>
          <w:color w:val="000000"/>
          <w:sz w:val="24"/>
        </w:rPr>
        <w:t>the number of votes sufficient to elect him or her under cumulative voting is voted against his or her removal.</w:t>
      </w:r>
    </w:p>
    <w:p>
      <w:pPr>
        <w:pStyle w:val="TextBody"/>
        <w:bidi w:val="0"/>
        <w:spacing w:lineRule="auto" w:line="288" w:before="0" w:after="240"/>
        <w:jc w:val="both"/>
        <w:rPr/>
      </w:pPr>
      <w:r>
        <w:rPr>
          <w:rFonts w:ascii="Times New Roman;serif" w:hAnsi="Times New Roman;serif"/>
          <w:b/>
          <w:color w:val="000000"/>
          <w:sz w:val="24"/>
        </w:rPr>
        <w:t xml:space="preserve">FIFTH. </w:t>
      </w:r>
      <w:r>
        <w:rPr>
          <w:rFonts w:ascii="Times New Roman;serif" w:hAnsi="Times New Roman;serif"/>
          <w:b w:val="false"/>
          <w:color w:val="000000"/>
          <w:sz w:val="24"/>
        </w:rPr>
        <w:t>The authorized amount of capital stock of the Association shall be 1,000,000 shares of common stock of the par value of ten dollars ($10) each; but said capital stock may be increased or decreased from time to time, according to the provisions of the laws of the United States. The Association shall have only one class of capital stock.</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pStyle w:val="TextBody"/>
        <w:bidi w:val="0"/>
        <w:spacing w:lineRule="auto" w:line="288" w:before="0" w:after="240"/>
        <w:jc w:val="both"/>
        <w:rPr/>
      </w:pPr>
      <w:r>
        <w:rPr>
          <w:rFonts w:ascii="Times New Roman;serif" w:hAnsi="Times New Roman;serif"/>
          <w:b w:val="false"/>
          <w:color w:val="000000"/>
          <w:sz w:val="24"/>
        </w:rPr>
        <w:t>Transfers of the Association's stock are subject to the prior written approval of a federal depository institution regulatory agency.</w:t>
      </w:r>
      <w:r>
        <w:rPr>
          <w:color w:val="000000"/>
        </w:rPr>
        <w:t xml:space="preserve"> </w:t>
      </w:r>
      <w:r>
        <w:rPr>
          <w:rFonts w:ascii="Times New Roman;serif" w:hAnsi="Times New Roman;serif"/>
          <w:b w:val="false"/>
          <w:color w:val="000000"/>
          <w:sz w:val="23"/>
        </w:rPr>
        <w:t>If no</w:t>
      </w:r>
      <w:r>
        <w:rPr>
          <w:color w:val="000000"/>
        </w:rPr>
        <w:t xml:space="preserve"> </w:t>
      </w:r>
      <w:r>
        <w:rPr>
          <w:rFonts w:ascii="Times New Roman;serif" w:hAnsi="Times New Roman;serif"/>
          <w:b w:val="false"/>
          <w:color w:val="000000"/>
          <w:sz w:val="24"/>
        </w:rPr>
        <w:t>other agency approval is required, the approval of the Comptroller of the Currency must be obtained prior to any such transfers.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Unless otherwise specified in the Articles of Association or required by law, all shares of voting stock shall be voted together as a class, on any matters requiring shareholder approval.</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pStyle w:val="TextBody"/>
        <w:bidi w:val="0"/>
        <w:spacing w:lineRule="auto" w:line="288" w:before="0" w:after="240"/>
        <w:jc w:val="both"/>
        <w:rPr/>
      </w:pPr>
      <w:r>
        <w:rPr>
          <w:rFonts w:ascii="Times New Roman;serif" w:hAnsi="Times New Roman;serif"/>
          <w:b/>
          <w:color w:val="000000"/>
          <w:sz w:val="23"/>
        </w:rPr>
        <w:t xml:space="preserve">SIXTH. </w:t>
      </w:r>
      <w:r>
        <w:rPr>
          <w:rFonts w:ascii="Times New Roman;serif" w:hAnsi="Times New Roman;serif"/>
          <w:b w:val="false"/>
          <w:color w:val="000000"/>
          <w:sz w:val="24"/>
        </w:rPr>
        <w:t>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board of directors shall have the power to:</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    Define the duties of the officers, employees, and agents of the Association.</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    Delegate the performance of its duties, but not the responsibility for its duties, to the officers, employees, and agents of the Association.</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    Fix the compensation and enter employment contracts with its officers and employees upon reasonable terms and conditions consistent with applicable law.</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    Dismiss officers and employees.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    Require bonds from officers and employees and to fix the penalty thereof.</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(6)    Ratify written policies authorized by the Association's management or committees of the board.</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(7)    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    Manage and administer the business and affairs of the Association.</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(9)    Adopt initial Bylaws, not inconsistent with law or the Articles of Association, for managing the business and regulating the affairs of the Association.</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    Amend or repeal Bylaws, except to the extent that the Articles of Association reserve this power in whole or in part to the shareholders.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(11)    Make contracts.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    Generally perform all acts that are legal for a board of directors to perform.</w:t>
      </w:r>
    </w:p>
    <w:p>
      <w:pPr>
        <w:pStyle w:val="TextBody"/>
        <w:bidi w:val="0"/>
        <w:spacing w:lineRule="auto" w:line="288" w:before="0" w:after="240"/>
        <w:jc w:val="both"/>
        <w:rPr/>
      </w:pPr>
      <w:r>
        <w:rPr>
          <w:rFonts w:ascii="Times New Roman;serif" w:hAnsi="Times New Roman;serif"/>
          <w:b/>
          <w:color w:val="000000"/>
          <w:sz w:val="23"/>
        </w:rPr>
        <w:t xml:space="preserve">SEVENTH. </w:t>
      </w:r>
      <w:r>
        <w:rPr>
          <w:rFonts w:ascii="Times New Roman;serif" w:hAnsi="Times New Roman;serif"/>
          <w:b w:val="false"/>
          <w:color w:val="000000"/>
          <w:sz w:val="24"/>
        </w:rPr>
        <w:t>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pStyle w:val="TextBody"/>
        <w:bidi w:val="0"/>
        <w:spacing w:lineRule="auto" w:line="288" w:before="0" w:after="240"/>
        <w:jc w:val="both"/>
        <w:rPr/>
      </w:pPr>
      <w:r>
        <w:rPr>
          <w:rFonts w:ascii="Times New Roman;serif" w:hAnsi="Times New Roman;serif"/>
          <w:b/>
          <w:color w:val="000000"/>
          <w:sz w:val="23"/>
        </w:rPr>
        <w:t xml:space="preserve">EIGHTH. </w:t>
      </w:r>
      <w:r>
        <w:rPr>
          <w:rFonts w:ascii="Times New Roman;serif" w:hAnsi="Times New Roman;serif"/>
          <w:b w:val="false"/>
          <w:color w:val="000000"/>
          <w:sz w:val="24"/>
        </w:rPr>
        <w:t>The corporate existence of this Association shall continue until termination according to the laws of the United States.</w:t>
      </w:r>
    </w:p>
    <w:p>
      <w:pPr>
        <w:pStyle w:val="TextBody"/>
        <w:bidi w:val="0"/>
        <w:spacing w:lineRule="auto" w:line="288" w:before="0" w:after="240"/>
        <w:jc w:val="both"/>
        <w:rPr/>
      </w:pPr>
      <w:r>
        <w:rPr>
          <w:rFonts w:ascii="Times New Roman;serif" w:hAnsi="Times New Roman;serif"/>
          <w:b/>
          <w:color w:val="000000"/>
          <w:sz w:val="23"/>
        </w:rPr>
        <w:t xml:space="preserve">NINTH. </w:t>
      </w:r>
      <w:r>
        <w:rPr>
          <w:rFonts w:ascii="Times New Roman;serif" w:hAnsi="Times New Roman;serif"/>
          <w:b w:val="false"/>
          <w:color w:val="000000"/>
          <w:sz w:val="24"/>
        </w:rPr>
        <w:t>The board of directors of the Association, or any shareholder owning, in the aggregate, not less than 25 percent of the 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pStyle w:val="TextBody"/>
        <w:bidi w:val="0"/>
        <w:spacing w:lineRule="auto" w:line="288" w:before="0" w:after="240"/>
        <w:jc w:val="both"/>
        <w:rPr/>
      </w:pPr>
      <w:r>
        <w:rPr>
          <w:rFonts w:ascii="Times New Roman;serif" w:hAnsi="Times New Roman;serif"/>
          <w:b/>
          <w:color w:val="000000"/>
          <w:sz w:val="23"/>
        </w:rPr>
        <w:t xml:space="preserve">TENTH. </w:t>
      </w:r>
      <w:r>
        <w:rPr>
          <w:rFonts w:ascii="Times New Roman;serif" w:hAnsi="Times New Roman;serif"/>
          <w:b w:val="false"/>
          <w:color w:val="000000"/>
          <w:sz w:val="24"/>
        </w:rPr>
        <w:t>These Articles of Association may be amended at any regular or special meeting of the shareholders by the 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p>
                  </w:txbxContent>
                </v:textbox>
                <w10:wrap type="none"/>
              </v:rect>
            </w:pict>
          </mc:Fallback>
        </mc:AlternateContent>
      </w:r>
    </w:p>
    <w:p>
      <w:pPr>
        <w:pStyle w:val="TextBody"/>
        <w:bidi w:val="0"/>
        <w:spacing w:lineRule="auto" w:line="288" w:before="0" w:after="440"/>
        <w:jc w:val="both"/>
        <w:rPr/>
      </w:pPr>
      <w:r>
        <w:rPr>
          <w:rFonts w:ascii="Times New Roman;serif" w:hAnsi="Times New Roman;serif"/>
          <w:b w:val="false"/>
          <w:color w:val="000000"/>
          <w:sz w:val="24"/>
        </w:rPr>
        <w:t xml:space="preserve">In witness whereof, we have hereunto set our hands this </w:t>
      </w:r>
      <w:r>
        <w:rPr>
          <w:rFonts w:ascii="Times New Roman;serif" w:hAnsi="Times New Roman;serif"/>
          <w:b w:val="false"/>
          <w:color w:val="000000"/>
          <w:sz w:val="23"/>
          <w:u w:val="single"/>
        </w:rPr>
        <w:t>11</w:t>
      </w:r>
      <w:r>
        <w:rPr>
          <w:rFonts w:ascii="Times New Roman;serif" w:hAnsi="Times New Roman;serif"/>
          <w:b w:val="false"/>
          <w:color w:val="000000"/>
          <w:sz w:val="15"/>
          <w:u w:val="single"/>
        </w:rPr>
        <w:t>th</w:t>
      </w:r>
      <w:r>
        <w:rPr>
          <w:color w:val="000000"/>
        </w:rPr>
        <w:t xml:space="preserve"> </w:t>
      </w:r>
      <w:r>
        <w:rPr>
          <w:rFonts w:ascii="Times New Roman;serif" w:hAnsi="Times New Roman;serif"/>
          <w:b w:val="false"/>
          <w:color w:val="000000"/>
          <w:sz w:val="24"/>
        </w:rPr>
        <w:t>of June, 1997.</w:t>
      </w:r>
    </w:p>
    <w:p>
      <w:pPr>
        <w:pStyle w:val="TextBody"/>
        <w:bidi w:val="0"/>
        <w:spacing w:before="0" w:after="0"/>
        <w:jc w:val="both"/>
        <w:rPr/>
      </w:pPr>
      <w:r>
        <w:rPr/>
        <w:drawing>
          <wp:inline distT="0" distB="0" distL="0" distR="0">
            <wp:extent cx="2085975" cy="263842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2085975" cy="2638425"/>
                    </a:xfrm>
                    <a:prstGeom prst="rect">
                      <a:avLst/>
                    </a:prstGeom>
                  </pic:spPr>
                </pic:pic>
              </a:graphicData>
            </a:graphic>
          </wp:inline>
        </w:drawing>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2</w:t>
      </w:r>
    </w:p>
    <w:p>
      <w:pPr>
        <w:pStyle w:val="TextBody"/>
        <w:bidi w:val="0"/>
        <w:spacing w:before="0" w:after="240"/>
        <w:jc w:val="left"/>
        <w:rPr/>
      </w:pPr>
      <w:r>
        <w:rPr/>
      </w:r>
    </w:p>
    <w:p>
      <w:pPr>
        <w:pStyle w:val="TextBody"/>
        <w:bidi w:val="0"/>
        <w:spacing w:before="0" w:after="240"/>
        <w:jc w:val="left"/>
        <w:rPr/>
      </w:pPr>
      <w:r>
        <w:rPr/>
        <w:drawing>
          <wp:inline distT="0" distB="0" distL="0" distR="0">
            <wp:extent cx="5429250" cy="70104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5429250" cy="70104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4</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U.S. BANK TRUST COMPANY, NATIONAL ASSOCIATION </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AMENDED AND RESTATED BYLAWS</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Meetings of Shareholders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1.1. </w:t>
      </w:r>
      <w:r>
        <w:rPr>
          <w:rFonts w:ascii="Times New Roman;serif" w:hAnsi="Times New Roman;serif"/>
          <w:b w:val="false"/>
          <w:color w:val="000000"/>
          <w:sz w:val="24"/>
          <w:u w:val="single"/>
        </w:rPr>
        <w:t>Annual Meeting</w:t>
      </w:r>
      <w:r>
        <w:rPr>
          <w:rFonts w:ascii="Times New Roman;serif" w:hAnsi="Times New Roman;serif"/>
          <w:b w:val="false"/>
          <w:color w:val="000000"/>
          <w:sz w:val="24"/>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1.2. </w:t>
      </w:r>
      <w:r>
        <w:rPr>
          <w:rFonts w:ascii="Times New Roman;serif" w:hAnsi="Times New Roman;serif"/>
          <w:b w:val="false"/>
          <w:color w:val="000000"/>
          <w:sz w:val="24"/>
          <w:u w:val="single"/>
        </w:rPr>
        <w:t>Special Meetings</w:t>
      </w:r>
      <w:r>
        <w:rPr>
          <w:rFonts w:ascii="Times New Roman;serif" w:hAnsi="Times New Roman;serif"/>
          <w:b w:val="false"/>
          <w:color w:val="000000"/>
          <w:sz w:val="24"/>
        </w:rPr>
        <w:t xml:space="preserve">. Except as otherwise specially provided by law, special meetings of the shareholders may be called for any purpose, at any time by a majority of the board of directors (the “Board”), or by any shareholder or group of shareholders owning at least ten percent of the outstanding stock.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Every such special meeting, unless otherwise provided by law, shall be called upon not less than ten (10) days nor more than sixty (60) days prior notice stating the purpose of the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1.3. </w:t>
      </w:r>
      <w:r>
        <w:rPr>
          <w:rFonts w:ascii="Times New Roman;serif" w:hAnsi="Times New Roman;serif"/>
          <w:b w:val="false"/>
          <w:color w:val="000000"/>
          <w:sz w:val="24"/>
          <w:u w:val="single"/>
        </w:rPr>
        <w:t>Nominations for Directors</w:t>
      </w:r>
      <w:r>
        <w:rPr>
          <w:rFonts w:ascii="Times New Roman;serif" w:hAnsi="Times New Roman;serif"/>
          <w:b w:val="false"/>
          <w:color w:val="000000"/>
          <w:sz w:val="24"/>
        </w:rPr>
        <w:t>. Nominations for election to the Board may be made by the Board or by any shareholder.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1.4. </w:t>
      </w:r>
      <w:r>
        <w:rPr>
          <w:rFonts w:ascii="Times New Roman;serif" w:hAnsi="Times New Roman;serif"/>
          <w:b w:val="false"/>
          <w:color w:val="000000"/>
          <w:sz w:val="24"/>
          <w:u w:val="single"/>
        </w:rPr>
        <w:t>Proxies</w:t>
      </w:r>
      <w:r>
        <w:rPr>
          <w:rFonts w:ascii="Times New Roman;serif" w:hAnsi="Times New Roman;serif"/>
          <w:b w:val="false"/>
          <w:color w:val="000000"/>
          <w:sz w:val="24"/>
        </w:rPr>
        <w:t>. Shareholders may vote at any meeting of the shareholders by proxies duly authorized in writing. Proxies shall be valid only for one meeting and any adjournments of such meeting and shall be filed with the records of the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1.5. </w:t>
      </w:r>
      <w:r>
        <w:rPr>
          <w:rFonts w:ascii="Times New Roman;serif" w:hAnsi="Times New Roman;serif"/>
          <w:b w:val="false"/>
          <w:color w:val="000000"/>
          <w:sz w:val="24"/>
          <w:u w:val="single"/>
        </w:rPr>
        <w:t>Record Date</w:t>
      </w:r>
      <w:r>
        <w:rPr>
          <w:rFonts w:ascii="Times New Roman;serif" w:hAnsi="Times New Roman;serif"/>
          <w:b w:val="false"/>
          <w:color w:val="000000"/>
          <w:sz w:val="24"/>
        </w:rPr>
        <w:t>. The record date for determining shareholders entitled to notice and to vote at any meeting will be thirty days before the date of such meeting, unless otherwise determined by the Board.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1.6. </w:t>
      </w:r>
      <w:r>
        <w:rPr>
          <w:rFonts w:ascii="Times New Roman;serif" w:hAnsi="Times New Roman;serif"/>
          <w:b w:val="false"/>
          <w:color w:val="000000"/>
          <w:sz w:val="24"/>
          <w:u w:val="single"/>
        </w:rPr>
        <w:t>Quorum and Voting</w:t>
      </w:r>
      <w:r>
        <w:rPr>
          <w:rFonts w:ascii="Times New Roman;serif" w:hAnsi="Times New Roman;serif"/>
          <w:b w:val="false"/>
          <w:color w:val="000000"/>
          <w:sz w:val="24"/>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1.7. </w:t>
      </w:r>
      <w:r>
        <w:rPr>
          <w:rFonts w:ascii="Times New Roman;serif" w:hAnsi="Times New Roman;serif"/>
          <w:b w:val="false"/>
          <w:color w:val="000000"/>
          <w:sz w:val="24"/>
          <w:u w:val="single"/>
        </w:rPr>
        <w:t>Inspectors</w:t>
      </w:r>
      <w:r>
        <w:rPr>
          <w:rFonts w:ascii="Times New Roman;serif" w:hAnsi="Times New Roman;serif"/>
          <w:b w:val="false"/>
          <w:color w:val="000000"/>
          <w:sz w:val="24"/>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1.8. </w:t>
      </w:r>
      <w:r>
        <w:rPr>
          <w:rFonts w:ascii="Times New Roman;serif" w:hAnsi="Times New Roman;serif"/>
          <w:b w:val="false"/>
          <w:color w:val="000000"/>
          <w:sz w:val="24"/>
          <w:u w:val="single"/>
        </w:rPr>
        <w:t>Waiver and Consent</w:t>
      </w:r>
      <w:r>
        <w:rPr>
          <w:rFonts w:ascii="Times New Roman;serif" w:hAnsi="Times New Roman;serif"/>
          <w:b w:val="false"/>
          <w:color w:val="000000"/>
          <w:sz w:val="24"/>
        </w:rPr>
        <w:t>. The shareholders may act without notice or a meeting by a unanimous written consent by all shareholders.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1.9. </w:t>
      </w:r>
      <w:r>
        <w:rPr>
          <w:rFonts w:ascii="Times New Roman;serif" w:hAnsi="Times New Roman;serif"/>
          <w:b w:val="false"/>
          <w:color w:val="000000"/>
          <w:sz w:val="24"/>
          <w:u w:val="single"/>
        </w:rPr>
        <w:t>Remote Meetings</w:t>
      </w:r>
      <w:r>
        <w:rPr>
          <w:rFonts w:ascii="Times New Roman;serif" w:hAnsi="Times New Roman;serif"/>
          <w:b w:val="false"/>
          <w:color w:val="000000"/>
          <w:sz w:val="24"/>
        </w:rPr>
        <w:t>. The Board shall have the right to determine that a shareholder meeting not be held at a place, but instead be held solely by means of remote communication in the manner and to the extent permitted by the General Corporation Law of the State of Delaware.</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II</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Directors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2.1. </w:t>
      </w:r>
      <w:r>
        <w:rPr>
          <w:rFonts w:ascii="Times New Roman;serif" w:hAnsi="Times New Roman;serif"/>
          <w:b w:val="false"/>
          <w:color w:val="000000"/>
          <w:sz w:val="24"/>
          <w:u w:val="single"/>
        </w:rPr>
        <w:t>Board of Directors</w:t>
      </w:r>
      <w:r>
        <w:rPr>
          <w:rFonts w:ascii="Times New Roman;serif" w:hAnsi="Times New Roman;serif"/>
          <w:b w:val="false"/>
          <w:color w:val="000000"/>
          <w:sz w:val="24"/>
        </w:rPr>
        <w:t>. The Board shall have the power to manage and administer the business and affairs of the Association. Except as expressly limited by law, all corporate powers of the Association shall be vested in and may be exercised by the Board.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2.2. </w:t>
      </w:r>
      <w:r>
        <w:rPr>
          <w:rFonts w:ascii="Times New Roman;serif" w:hAnsi="Times New Roman;serif"/>
          <w:b w:val="false"/>
          <w:color w:val="000000"/>
          <w:sz w:val="24"/>
          <w:u w:val="single"/>
        </w:rPr>
        <w:t>Term of Office</w:t>
      </w:r>
      <w:r>
        <w:rPr>
          <w:rFonts w:ascii="Times New Roman;serif" w:hAnsi="Times New Roman;serif"/>
          <w:b w:val="false"/>
          <w:color w:val="000000"/>
          <w:sz w:val="24"/>
        </w:rPr>
        <w:t>. The directors of this Association shall hold office for one year and until their successors are duly elected and qualified, or until their earlier resignation or removal.</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2.3. </w:t>
      </w:r>
      <w:r>
        <w:rPr>
          <w:rFonts w:ascii="Times New Roman;serif" w:hAnsi="Times New Roman;serif"/>
          <w:b w:val="false"/>
          <w:color w:val="000000"/>
          <w:sz w:val="24"/>
          <w:u w:val="single"/>
        </w:rPr>
        <w:t>Powers</w:t>
      </w:r>
      <w:r>
        <w:rPr>
          <w:rFonts w:ascii="Times New Roman;serif" w:hAnsi="Times New Roman;serif"/>
          <w:b w:val="false"/>
          <w:color w:val="000000"/>
          <w:sz w:val="24"/>
        </w:rPr>
        <w:t>. In addition to the foregoing, the Board shall have and may exercise all of the powers granted to or conferred upon it by the Articles of Association, the Bylaws and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2.4. </w:t>
      </w:r>
      <w:r>
        <w:rPr>
          <w:rFonts w:ascii="Times New Roman;serif" w:hAnsi="Times New Roman;serif"/>
          <w:b w:val="false"/>
          <w:color w:val="000000"/>
          <w:sz w:val="24"/>
          <w:u w:val="single"/>
        </w:rPr>
        <w:t>Number</w:t>
      </w:r>
      <w:r>
        <w:rPr>
          <w:rFonts w:ascii="Times New Roman;serif" w:hAnsi="Times New Roman;serif"/>
          <w:b w:val="false"/>
          <w:color w:val="000000"/>
          <w:sz w:val="24"/>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2.5. </w:t>
      </w:r>
      <w:r>
        <w:rPr>
          <w:rFonts w:ascii="Times New Roman;serif" w:hAnsi="Times New Roman;serif"/>
          <w:b w:val="false"/>
          <w:color w:val="000000"/>
          <w:sz w:val="24"/>
          <w:u w:val="single"/>
        </w:rPr>
        <w:t>Organization Meeting</w:t>
      </w:r>
      <w:r>
        <w:rPr>
          <w:rFonts w:ascii="Times New Roman;serif" w:hAnsi="Times New Roman;serif"/>
          <w:b w:val="false"/>
          <w:color w:val="000000"/>
          <w:sz w:val="24"/>
        </w:rPr>
        <w:t xml:space="preserve">. The newly elected Board shall meet for the purpose of organizing the new Board and electing and appointing such officers of the Association as may be appropriate. Such meeting shall be held on the day of the election or as soon thereafter as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2.6. </w:t>
      </w:r>
      <w:r>
        <w:rPr>
          <w:rFonts w:ascii="Times New Roman;serif" w:hAnsi="Times New Roman;serif"/>
          <w:b w:val="false"/>
          <w:color w:val="000000"/>
          <w:sz w:val="24"/>
          <w:u w:val="single"/>
        </w:rPr>
        <w:t>Regular Meetings</w:t>
      </w:r>
      <w:r>
        <w:rPr>
          <w:rFonts w:ascii="Times New Roman;serif" w:hAnsi="Times New Roman;serif"/>
          <w:b w:val="false"/>
          <w:color w:val="000000"/>
          <w:sz w:val="24"/>
        </w:rPr>
        <w:t>. The regular meetings of the Board shall be held, without notice, as the Chairman or President may designate and deem suitable.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2.7. </w:t>
      </w:r>
      <w:r>
        <w:rPr>
          <w:rFonts w:ascii="Times New Roman;serif" w:hAnsi="Times New Roman;serif"/>
          <w:b w:val="false"/>
          <w:color w:val="000000"/>
          <w:sz w:val="24"/>
          <w:u w:val="single"/>
        </w:rPr>
        <w:t>Special Meetings</w:t>
      </w:r>
      <w:r>
        <w:rPr>
          <w:rFonts w:ascii="Times New Roman;serif" w:hAnsi="Times New Roman;serif"/>
          <w:b w:val="false"/>
          <w:color w:val="000000"/>
          <w:sz w:val="24"/>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2.8. </w:t>
      </w:r>
      <w:r>
        <w:rPr>
          <w:rFonts w:ascii="Times New Roman;serif" w:hAnsi="Times New Roman;serif"/>
          <w:b w:val="false"/>
          <w:color w:val="000000"/>
          <w:sz w:val="24"/>
          <w:u w:val="single"/>
        </w:rPr>
        <w:t>Quorum and Necessary Vote</w:t>
      </w:r>
      <w:r>
        <w:rPr>
          <w:rFonts w:ascii="Times New Roman;serif" w:hAnsi="Times New Roman;serif"/>
          <w:b w:val="false"/>
          <w:color w:val="000000"/>
          <w:sz w:val="24"/>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2.9. </w:t>
      </w:r>
      <w:r>
        <w:rPr>
          <w:rFonts w:ascii="Times New Roman;serif" w:hAnsi="Times New Roman;serif"/>
          <w:b w:val="false"/>
          <w:color w:val="000000"/>
          <w:sz w:val="24"/>
          <w:u w:val="single"/>
        </w:rPr>
        <w:t>Written Consent</w:t>
      </w:r>
      <w:r>
        <w:rPr>
          <w:rFonts w:ascii="Times New Roman;serif" w:hAnsi="Times New Roman;serif"/>
          <w:b w:val="false"/>
          <w:color w:val="000000"/>
          <w:sz w:val="24"/>
        </w:rPr>
        <w:t>. Except as otherwise required by applicable laws and regulations, the Board may act without a meeting by a unanimous written consent by all directors, to be filed with the Secretary of the Association as part of the corporate records.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2.10. </w:t>
      </w:r>
      <w:r>
        <w:rPr>
          <w:rFonts w:ascii="Times New Roman;serif" w:hAnsi="Times New Roman;serif"/>
          <w:b w:val="false"/>
          <w:color w:val="000000"/>
          <w:sz w:val="24"/>
          <w:u w:val="single"/>
        </w:rPr>
        <w:t>Remote Meetings</w:t>
      </w:r>
      <w:r>
        <w:rPr>
          <w:rFonts w:ascii="Times New Roman;serif" w:hAnsi="Times New Roman;serif"/>
          <w:b w:val="false"/>
          <w:color w:val="000000"/>
          <w:sz w:val="24"/>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2.11. </w:t>
      </w:r>
      <w:r>
        <w:rPr>
          <w:rFonts w:ascii="Times New Roman;serif" w:hAnsi="Times New Roman;serif"/>
          <w:b w:val="false"/>
          <w:color w:val="000000"/>
          <w:sz w:val="24"/>
          <w:u w:val="single"/>
        </w:rPr>
        <w:t>Vacancies</w:t>
      </w:r>
      <w:r>
        <w:rPr>
          <w:rFonts w:ascii="Times New Roman;serif" w:hAnsi="Times New Roman;serif"/>
          <w:b w:val="false"/>
          <w:color w:val="000000"/>
          <w:sz w:val="24"/>
        </w:rPr>
        <w:t>. When any vacancy occurs among the directors, the remaining members of the Board may appoint a director to fill such vacancy at any regular meeting of the Board, or at a special meeting called for that purpose.</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III</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Committees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3.1. </w:t>
      </w:r>
      <w:r>
        <w:rPr>
          <w:rFonts w:ascii="Times New Roman;serif" w:hAnsi="Times New Roman;serif"/>
          <w:b w:val="false"/>
          <w:color w:val="000000"/>
          <w:sz w:val="24"/>
          <w:u w:val="single"/>
        </w:rPr>
        <w:t>Advisory Board of Directors</w:t>
      </w:r>
      <w:r>
        <w:rPr>
          <w:rFonts w:ascii="Times New Roman;serif" w:hAnsi="Times New Roman;serif"/>
          <w:b w:val="false"/>
          <w:color w:val="000000"/>
          <w:sz w:val="24"/>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3.2. </w:t>
      </w:r>
      <w:r>
        <w:rPr>
          <w:rFonts w:ascii="Times New Roman;serif" w:hAnsi="Times New Roman;serif"/>
          <w:b w:val="false"/>
          <w:color w:val="000000"/>
          <w:sz w:val="24"/>
          <w:u w:val="single"/>
        </w:rPr>
        <w:t>Trust Audit Committee</w:t>
      </w:r>
      <w:r>
        <w:rPr>
          <w:rFonts w:ascii="Times New Roman;serif" w:hAnsi="Times New Roman;serif"/>
          <w:b w:val="false"/>
          <w:color w:val="000000"/>
          <w:sz w:val="24"/>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Audit Committee of the financial holding company that is the ultimate parent of this Association, fulfilling the function of the trust audit committee: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(1)    Must not include any officers of the Association or an affiliate who participate significantly in the administration of the Association’s fiduciary activities;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Must consist of a majority of members who are not also members of any committee to which the Board has delegated power to manage and control the fiduciary activities of the Association.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3.3. </w:t>
      </w:r>
      <w:r>
        <w:rPr>
          <w:rFonts w:ascii="Times New Roman;serif" w:hAnsi="Times New Roman;serif"/>
          <w:b w:val="false"/>
          <w:color w:val="000000"/>
          <w:sz w:val="24"/>
          <w:u w:val="single"/>
        </w:rPr>
        <w:t>Executive Committee</w:t>
      </w:r>
      <w:r>
        <w:rPr>
          <w:rFonts w:ascii="Times New Roman;serif" w:hAnsi="Times New Roman;serif"/>
          <w:b w:val="false"/>
          <w:color w:val="000000"/>
          <w:sz w:val="24"/>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3.4. </w:t>
      </w:r>
      <w:r>
        <w:rPr>
          <w:rFonts w:ascii="Times New Roman;serif" w:hAnsi="Times New Roman;serif"/>
          <w:b w:val="false"/>
          <w:color w:val="000000"/>
          <w:sz w:val="24"/>
          <w:u w:val="single"/>
        </w:rPr>
        <w:t>Trust Management Committee</w:t>
      </w:r>
      <w:r>
        <w:rPr>
          <w:rFonts w:ascii="Times New Roman;serif" w:hAnsi="Times New Roman;serif"/>
          <w:b w:val="false"/>
          <w:color w:val="000000"/>
          <w:sz w:val="24"/>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3.5. </w:t>
      </w:r>
      <w:r>
        <w:rPr>
          <w:rFonts w:ascii="Times New Roman;serif" w:hAnsi="Times New Roman;serif"/>
          <w:b w:val="false"/>
          <w:color w:val="000000"/>
          <w:sz w:val="24"/>
          <w:u w:val="single"/>
        </w:rPr>
        <w:t>Other Committees</w:t>
      </w:r>
      <w:r>
        <w:rPr>
          <w:rFonts w:ascii="Times New Roman;serif" w:hAnsi="Times New Roman;serif"/>
          <w:b w:val="false"/>
          <w:color w:val="000000"/>
          <w:sz w:val="24"/>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3.6. </w:t>
      </w:r>
      <w:r>
        <w:rPr>
          <w:rFonts w:ascii="Times New Roman;serif" w:hAnsi="Times New Roman;serif"/>
          <w:b w:val="false"/>
          <w:color w:val="000000"/>
          <w:sz w:val="24"/>
          <w:u w:val="single"/>
        </w:rPr>
        <w:t>Meetings, Minutes and Rules</w:t>
      </w:r>
      <w:r>
        <w:rPr>
          <w:rFonts w:ascii="Times New Roman;serif" w:hAnsi="Times New Roman;serif"/>
          <w:b w:val="false"/>
          <w:color w:val="000000"/>
          <w:sz w:val="24"/>
        </w:rPr>
        <w:t xml:space="preserve">.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details need not be reported. An advisory board of directors or a committee may, in consideration of its purpose, adopt its own rules for the exercise of any of its functions or authority.</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IV</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Officers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4.1. </w:t>
      </w:r>
      <w:r>
        <w:rPr>
          <w:rFonts w:ascii="Times New Roman;serif" w:hAnsi="Times New Roman;serif"/>
          <w:b w:val="false"/>
          <w:color w:val="000000"/>
          <w:sz w:val="24"/>
          <w:u w:val="single"/>
        </w:rPr>
        <w:t>Who Shall Constitute</w:t>
      </w:r>
      <w:r>
        <w:rPr>
          <w:rFonts w:ascii="Times New Roman;serif" w:hAnsi="Times New Roman;serif"/>
          <w:b w:val="false"/>
          <w:color w:val="000000"/>
          <w:sz w:val="24"/>
        </w:rPr>
        <w:t>.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4.2. </w:t>
      </w:r>
      <w:r>
        <w:rPr>
          <w:rFonts w:ascii="Times New Roman;serif" w:hAnsi="Times New Roman;serif"/>
          <w:b w:val="false"/>
          <w:color w:val="000000"/>
          <w:sz w:val="24"/>
          <w:u w:val="single"/>
        </w:rPr>
        <w:t>Term of Office</w:t>
      </w:r>
      <w:r>
        <w:rPr>
          <w:rFonts w:ascii="Times New Roman;serif" w:hAnsi="Times New Roman;serif"/>
          <w:b w:val="false"/>
          <w:color w:val="000000"/>
          <w:sz w:val="24"/>
        </w:rPr>
        <w:t>.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4.3. </w:t>
      </w:r>
      <w:r>
        <w:rPr>
          <w:rFonts w:ascii="Times New Roman;serif" w:hAnsi="Times New Roman;serif"/>
          <w:b w:val="false"/>
          <w:color w:val="000000"/>
          <w:sz w:val="24"/>
          <w:u w:val="single"/>
        </w:rPr>
        <w:t>Chairman of the Board</w:t>
      </w:r>
      <w:r>
        <w:rPr>
          <w:rFonts w:ascii="Times New Roman;serif" w:hAnsi="Times New Roman;serif"/>
          <w:b w:val="false"/>
          <w:color w:val="000000"/>
          <w:sz w:val="24"/>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4.4. </w:t>
      </w:r>
      <w:r>
        <w:rPr>
          <w:rFonts w:ascii="Times New Roman;serif" w:hAnsi="Times New Roman;serif"/>
          <w:b w:val="false"/>
          <w:color w:val="000000"/>
          <w:sz w:val="24"/>
          <w:u w:val="single"/>
        </w:rPr>
        <w:t>President</w:t>
      </w:r>
      <w:r>
        <w:rPr>
          <w:rFonts w:ascii="Times New Roman;serif" w:hAnsi="Times New Roman;serif"/>
          <w:b w:val="false"/>
          <w:color w:val="000000"/>
          <w:sz w:val="24"/>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4.5. </w:t>
      </w:r>
      <w:r>
        <w:rPr>
          <w:rFonts w:ascii="Times New Roman;serif" w:hAnsi="Times New Roman;serif"/>
          <w:b w:val="false"/>
          <w:color w:val="000000"/>
          <w:sz w:val="24"/>
          <w:u w:val="single"/>
        </w:rPr>
        <w:t>Vice President</w:t>
      </w:r>
      <w:r>
        <w:rPr>
          <w:rFonts w:ascii="Times New Roman;serif" w:hAnsi="Times New Roman;serif"/>
          <w:b w:val="false"/>
          <w:color w:val="000000"/>
          <w:sz w:val="24"/>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4.6. </w:t>
      </w:r>
      <w:r>
        <w:rPr>
          <w:rFonts w:ascii="Times New Roman;serif" w:hAnsi="Times New Roman;serif"/>
          <w:b w:val="false"/>
          <w:color w:val="000000"/>
          <w:sz w:val="24"/>
          <w:u w:val="single"/>
        </w:rPr>
        <w:t>Secretary</w:t>
      </w:r>
      <w:r>
        <w:rPr>
          <w:rFonts w:ascii="Times New Roman;serif" w:hAnsi="Times New Roman;serif"/>
          <w:b w:val="false"/>
          <w:color w:val="000000"/>
          <w:sz w:val="24"/>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4.7. </w:t>
      </w:r>
      <w:r>
        <w:rPr>
          <w:rFonts w:ascii="Times New Roman;serif" w:hAnsi="Times New Roman;serif"/>
          <w:b w:val="false"/>
          <w:color w:val="000000"/>
          <w:sz w:val="24"/>
          <w:u w:val="single"/>
        </w:rPr>
        <w:t>Other Officers</w:t>
      </w:r>
      <w:r>
        <w:rPr>
          <w:rFonts w:ascii="Times New Roman;serif" w:hAnsi="Times New Roman;serif"/>
          <w:b w:val="false"/>
          <w:color w:val="000000"/>
          <w:sz w:val="24"/>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pStyle w:val="TextBody"/>
        <w:bidi w:val="0"/>
        <w:spacing w:lineRule="auto" w:line="288" w:before="0" w:after="240"/>
        <w:ind w:left="0" w:right="0" w:firstLine="7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V</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Stock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VI</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Corporate Seal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VII</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Miscellaneous Provisions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7.1. </w:t>
      </w:r>
      <w:r>
        <w:rPr>
          <w:rFonts w:ascii="Times New Roman;serif" w:hAnsi="Times New Roman;serif"/>
          <w:b w:val="false"/>
          <w:color w:val="000000"/>
          <w:sz w:val="24"/>
          <w:u w:val="single"/>
        </w:rPr>
        <w:t>Execution of Instruments</w:t>
      </w:r>
      <w:r>
        <w:rPr>
          <w:rFonts w:ascii="Times New Roman;serif" w:hAnsi="Times New Roman;serif"/>
          <w:b w:val="false"/>
          <w:color w:val="000000"/>
          <w:sz w:val="24"/>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7.2. </w:t>
      </w:r>
      <w:r>
        <w:rPr>
          <w:rFonts w:ascii="Times New Roman;serif" w:hAnsi="Times New Roman;serif"/>
          <w:b w:val="false"/>
          <w:color w:val="000000"/>
          <w:sz w:val="24"/>
          <w:u w:val="single"/>
        </w:rPr>
        <w:t>Records</w:t>
      </w:r>
      <w:r>
        <w:rPr>
          <w:rFonts w:ascii="Times New Roman;serif" w:hAnsi="Times New Roman;serif"/>
          <w:b w:val="false"/>
          <w:color w:val="000000"/>
          <w:sz w:val="24"/>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7.3. </w:t>
      </w:r>
      <w:r>
        <w:rPr>
          <w:rFonts w:ascii="Times New Roman;serif" w:hAnsi="Times New Roman;serif"/>
          <w:b w:val="false"/>
          <w:color w:val="000000"/>
          <w:sz w:val="24"/>
          <w:u w:val="single"/>
        </w:rPr>
        <w:t>Trust Files</w:t>
      </w:r>
      <w:r>
        <w:rPr>
          <w:rFonts w:ascii="Times New Roman;serif" w:hAnsi="Times New Roman;serif"/>
          <w:b w:val="false"/>
          <w:color w:val="000000"/>
          <w:sz w:val="24"/>
        </w:rPr>
        <w:t>. There shall be maintained in the Association files all fiduciary records necessary to assure that its fiduciary responsibilities have been properly undertaken and discharged.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7.4. </w:t>
      </w:r>
      <w:r>
        <w:rPr>
          <w:rFonts w:ascii="Times New Roman;serif" w:hAnsi="Times New Roman;serif"/>
          <w:b w:val="false"/>
          <w:color w:val="000000"/>
          <w:sz w:val="24"/>
          <w:u w:val="single"/>
        </w:rPr>
        <w:t>Trust Investments</w:t>
      </w:r>
      <w:r>
        <w:rPr>
          <w:rFonts w:ascii="Times New Roman;serif" w:hAnsi="Times New Roman;serif"/>
          <w:b w:val="false"/>
          <w:color w:val="000000"/>
          <w:sz w:val="24"/>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7.5. </w:t>
      </w:r>
      <w:r>
        <w:rPr>
          <w:rFonts w:ascii="Times New Roman;serif" w:hAnsi="Times New Roman;serif"/>
          <w:b w:val="false"/>
          <w:color w:val="000000"/>
          <w:sz w:val="24"/>
          <w:u w:val="single"/>
        </w:rPr>
        <w:t>Notice</w:t>
      </w:r>
      <w:r>
        <w:rPr>
          <w:rFonts w:ascii="Times New Roman;serif" w:hAnsi="Times New Roman;serif"/>
          <w:b w:val="false"/>
          <w:color w:val="000000"/>
          <w:sz w:val="24"/>
        </w:rPr>
        <w:t xml:space="preserve">.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Except where specified otherwise in these Bylaws, prior notice shall be proper if given not more than 30 days nor less than 10 days prior to the event for which notice is given.</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VIII</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Indemnification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IX</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Bylaws: Interpretation and Amendment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9.1. These Bylaws shall be interpreted in accordance with and subject to appropriate provisions of law, and may be added to, altered, amended, or repealed, at any regular or special meeting of the Board.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9.2. A copy of the Bylaws and all amendments shall at all times be kept in a convenient place at the principal office of the Association, and shall be open for inspection to all shareholders during Association hours.</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X</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Miscellaneous Provisions</w:t>
      </w:r>
    </w:p>
    <w:p>
      <w:pPr>
        <w:pStyle w:val="TextBody"/>
        <w:bidi w:val="0"/>
        <w:spacing w:lineRule="auto" w:line="288" w:before="0" w:after="240"/>
        <w:ind w:left="0" w:right="0" w:firstLine="540"/>
        <w:jc w:val="both"/>
        <w:rPr/>
      </w:pPr>
      <w:r>
        <w:rPr>
          <w:rFonts w:ascii="Times New Roman;serif" w:hAnsi="Times New Roman;serif"/>
          <w:b w:val="false"/>
          <w:color w:val="000000"/>
          <w:sz w:val="24"/>
        </w:rPr>
        <w:t xml:space="preserve">Section 10.1. </w:t>
      </w:r>
      <w:r>
        <w:rPr>
          <w:rFonts w:ascii="Times New Roman;serif" w:hAnsi="Times New Roman;serif"/>
          <w:b w:val="false"/>
          <w:color w:val="000000"/>
          <w:sz w:val="24"/>
          <w:u w:val="single"/>
        </w:rPr>
        <w:t>Fiscal Year</w:t>
      </w:r>
      <w:r>
        <w:rPr>
          <w:rFonts w:ascii="Times New Roman;serif" w:hAnsi="Times New Roman;serif"/>
          <w:b w:val="false"/>
          <w:color w:val="000000"/>
          <w:sz w:val="24"/>
        </w:rPr>
        <w:t>. The fiscal year of the Association shall begin on the first day of January in each year and shall end on the thirty-first day of December following.</w:t>
      </w:r>
    </w:p>
    <w:p>
      <w:pPr>
        <w:pStyle w:val="TextBody"/>
        <w:bidi w:val="0"/>
        <w:spacing w:lineRule="auto" w:line="288" w:before="0" w:after="240"/>
        <w:ind w:left="0" w:right="0" w:firstLine="540"/>
        <w:jc w:val="both"/>
        <w:rPr/>
      </w:pPr>
      <w:r>
        <w:rPr>
          <w:rFonts w:ascii="Times New Roman;serif" w:hAnsi="Times New Roman;serif"/>
          <w:b w:val="false"/>
          <w:color w:val="000000"/>
          <w:sz w:val="24"/>
        </w:rPr>
        <w:t xml:space="preserve">Section 10.2.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pStyle w:val="TextBody"/>
        <w:bidi w:val="0"/>
        <w:spacing w:lineRule="auto" w:line="288" w:before="0" w:after="1000"/>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(November 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CONSENT</w:t>
      </w:r>
    </w:p>
    <w:p>
      <w:pPr>
        <w:pStyle w:val="TextBody"/>
        <w:bidi w:val="0"/>
        <w:spacing w:lineRule="auto" w:line="288" w:before="0" w:after="4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tbl>
      <w:tblPr>
        <w:tblW w:w="5124" w:type="dxa"/>
        <w:jc w:val="left"/>
        <w:tblInd w:w="0" w:type="dxa"/>
        <w:tblLayout w:type="fixed"/>
        <w:tblCellMar>
          <w:top w:w="28" w:type="dxa"/>
          <w:left w:w="28" w:type="dxa"/>
          <w:bottom w:w="28" w:type="dxa"/>
          <w:right w:w="28" w:type="dxa"/>
        </w:tblCellMar>
      </w:tblPr>
      <w:tblGrid>
        <w:gridCol w:w="760"/>
        <w:gridCol w:w="668"/>
        <w:gridCol w:w="671"/>
        <w:gridCol w:w="149"/>
        <w:gridCol w:w="149"/>
        <w:gridCol w:w="151"/>
        <w:gridCol w:w="734"/>
        <w:gridCol w:w="734"/>
        <w:gridCol w:w="736"/>
        <w:gridCol w:w="109"/>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July 31, 2026</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Shannon Matthews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Shannon Matthews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Vice President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7</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U.S. Bank Trust Company, National Association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Statement of Financial Condition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as of 3/31/2026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($000’s) </w:t>
      </w:r>
    </w:p>
    <w:tbl>
      <w:tblPr>
        <w:tblW w:w="7565" w:type="dxa"/>
        <w:jc w:val="left"/>
        <w:tblInd w:w="0" w:type="dxa"/>
        <w:tblLayout w:type="fixed"/>
        <w:tblCellMar>
          <w:top w:w="28" w:type="dxa"/>
          <w:left w:w="28" w:type="dxa"/>
          <w:bottom w:w="28" w:type="dxa"/>
          <w:right w:w="28" w:type="dxa"/>
        </w:tblCellMar>
      </w:tblPr>
      <w:tblGrid>
        <w:gridCol w:w="1868"/>
        <w:gridCol w:w="1639"/>
        <w:gridCol w:w="1652"/>
        <w:gridCol w:w="623"/>
        <w:gridCol w:w="623"/>
        <w:gridCol w:w="197"/>
        <w:gridCol w:w="197"/>
        <w:gridCol w:w="197"/>
        <w:gridCol w:w="197"/>
        <w:gridCol w:w="109"/>
        <w:gridCol w:w="109"/>
        <w:gridCol w:w="154"/>
      </w:tblGrid>
      <w:tr>
        <w:trPr/>
        <w:tc>
          <w:tcPr>
            <w:tcW w:w="1868"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4"/>
              </w:rPr>
            </w:pPr>
            <w:r>
              <w:rPr>
                <w:rFonts w:ascii="Times New Roman;serif" w:hAnsi="Times New Roman;serif"/>
                <w:b/>
                <w:color w:val="000000"/>
                <w:sz w:val="24"/>
              </w:rPr>
              <w:t>03/31/2026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Assets</w:t>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Cash and Balances Due From Depository Institutions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$2,159,991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Securities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4,683 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Federal Funds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Loans &amp; Lease Financing Receivables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Fixed Assets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534 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Intangible Assets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573,596 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Other Assets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160,011 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Total Assets</w:t>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4"/>
              </w:rPr>
              <w:t>$2,898,815</w:t>
            </w:r>
            <w:r>
              <w:rPr>
                <w:color w:val="000000"/>
              </w:rPr>
              <w:t> </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Liabilities</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Deposits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Fed Funds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Treasury Demand Notes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Trading Liabilities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Other Borrowed Money</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Acceptances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Subordinated Notes and Debentures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Other Liabilities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221,704 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Total Liabilities</w:t>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4"/>
              </w:rPr>
              <w:t>$221,704</w:t>
            </w:r>
            <w:r>
              <w:rPr>
                <w:color w:val="000000"/>
              </w:rPr>
              <w:t> </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Equity</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Common and Preferred Stock</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200 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Surplus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1,171,635 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Undivided Profits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1,505,276 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Minority Interest in Subsidiaries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Total Equity Capital</w:t>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4"/>
              </w:rPr>
              <w:t>$2,677,111</w:t>
            </w:r>
            <w:r>
              <w:rPr>
                <w:color w:val="000000"/>
              </w:rPr>
              <w:t> </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Total Liabilities and Equity Capital</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4"/>
              </w:rPr>
              <w:t>$2,898,815</w:t>
            </w:r>
            <w:r>
              <w:rPr>
                <w:color w:val="000000"/>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6486</Words>
  <Characters>33258</Characters>
  <CharactersWithSpaces>39613</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